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57" w:rsidRPr="00F761AD" w:rsidRDefault="00624657" w:rsidP="00676937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r w:rsidRPr="00F761AD">
        <w:rPr>
          <w:b/>
          <w:i/>
          <w:sz w:val="28"/>
          <w:szCs w:val="28"/>
        </w:rPr>
        <w:t>Информация о трудоустройстве выпускников 2012</w:t>
      </w:r>
      <w:r w:rsidR="0000280A">
        <w:rPr>
          <w:b/>
          <w:i/>
          <w:sz w:val="28"/>
          <w:szCs w:val="28"/>
        </w:rPr>
        <w:t xml:space="preserve"> </w:t>
      </w:r>
      <w:r w:rsidRPr="00F761AD">
        <w:rPr>
          <w:b/>
          <w:i/>
          <w:sz w:val="28"/>
          <w:szCs w:val="28"/>
        </w:rPr>
        <w:t>года</w:t>
      </w:r>
    </w:p>
    <w:bookmarkEnd w:id="0"/>
    <w:p w:rsidR="00624657" w:rsidRDefault="00624657" w:rsidP="006246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B7">
        <w:rPr>
          <w:rFonts w:ascii="Times New Roman" w:hAnsi="Times New Roman" w:cs="Times New Roman"/>
          <w:sz w:val="28"/>
          <w:szCs w:val="28"/>
        </w:rPr>
        <w:t xml:space="preserve">Анализ трудоустройства выпускников 9-ых классов показывает, что  </w:t>
      </w:r>
      <w:r w:rsidR="00664868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Pr="00D374B7">
        <w:rPr>
          <w:rFonts w:ascii="Times New Roman" w:hAnsi="Times New Roman" w:cs="Times New Roman"/>
          <w:sz w:val="28"/>
          <w:szCs w:val="28"/>
        </w:rPr>
        <w:t>2</w:t>
      </w:r>
      <w:r w:rsidR="00664868">
        <w:rPr>
          <w:rFonts w:ascii="Times New Roman" w:hAnsi="Times New Roman" w:cs="Times New Roman"/>
          <w:sz w:val="28"/>
          <w:szCs w:val="28"/>
        </w:rPr>
        <w:t xml:space="preserve"> – х последних лет сохраняется достаточно высокий процент  </w:t>
      </w:r>
      <w:r w:rsidRPr="00D374B7">
        <w:rPr>
          <w:rFonts w:ascii="Times New Roman" w:hAnsi="Times New Roman" w:cs="Times New Roman"/>
          <w:sz w:val="28"/>
          <w:szCs w:val="28"/>
        </w:rPr>
        <w:t xml:space="preserve"> </w:t>
      </w:r>
      <w:r w:rsidR="00664868">
        <w:rPr>
          <w:rFonts w:ascii="Times New Roman" w:hAnsi="Times New Roman" w:cs="Times New Roman"/>
          <w:sz w:val="28"/>
          <w:szCs w:val="28"/>
        </w:rPr>
        <w:t xml:space="preserve">выпускников 9-ых классов, </w:t>
      </w:r>
      <w:r w:rsidRPr="00D374B7">
        <w:rPr>
          <w:rFonts w:ascii="Times New Roman" w:hAnsi="Times New Roman" w:cs="Times New Roman"/>
          <w:sz w:val="28"/>
          <w:szCs w:val="28"/>
        </w:rPr>
        <w:t xml:space="preserve">продолживших обучение в своей школе.  В 2011 году продолжили обучение в 10 классе  </w:t>
      </w:r>
      <w:r w:rsidR="00664868">
        <w:rPr>
          <w:rFonts w:ascii="Times New Roman" w:hAnsi="Times New Roman" w:cs="Times New Roman"/>
          <w:sz w:val="28"/>
          <w:szCs w:val="28"/>
        </w:rPr>
        <w:t xml:space="preserve">- </w:t>
      </w:r>
      <w:r w:rsidRPr="00D374B7">
        <w:rPr>
          <w:rFonts w:ascii="Times New Roman" w:hAnsi="Times New Roman" w:cs="Times New Roman"/>
          <w:sz w:val="28"/>
          <w:szCs w:val="28"/>
        </w:rPr>
        <w:t xml:space="preserve">76%, в 2012 -75%. </w:t>
      </w:r>
    </w:p>
    <w:p w:rsidR="003237F3" w:rsidRPr="00F761AD" w:rsidRDefault="003237F3" w:rsidP="003237F3">
      <w:pPr>
        <w:jc w:val="center"/>
        <w:rPr>
          <w:rFonts w:ascii="Verdana" w:hAnsi="Verdana" w:cs="Calibri"/>
          <w:b/>
          <w:bCs/>
          <w:sz w:val="24"/>
          <w:szCs w:val="24"/>
        </w:rPr>
      </w:pPr>
      <w:r w:rsidRPr="00F761AD">
        <w:rPr>
          <w:rFonts w:ascii="Verdana" w:hAnsi="Verdana" w:cs="Calibri"/>
          <w:b/>
          <w:bCs/>
          <w:sz w:val="24"/>
          <w:szCs w:val="24"/>
        </w:rPr>
        <w:t>Итоги распределения выпускников 9-х классов</w:t>
      </w:r>
    </w:p>
    <w:p w:rsidR="003237F3" w:rsidRPr="00D374B7" w:rsidRDefault="003237F3" w:rsidP="006246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F623B7" wp14:editId="4AC4F168">
            <wp:extent cx="5095875" cy="22288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61AD" w:rsidRDefault="00624657" w:rsidP="00F761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B7">
        <w:rPr>
          <w:rFonts w:ascii="Times New Roman" w:hAnsi="Times New Roman" w:cs="Times New Roman"/>
          <w:sz w:val="28"/>
          <w:szCs w:val="28"/>
        </w:rPr>
        <w:t xml:space="preserve"> Остается достаточно стабильным  количество учащихся, поступающих </w:t>
      </w:r>
      <w:proofErr w:type="gramStart"/>
      <w:r w:rsidRPr="00D374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4B7">
        <w:rPr>
          <w:rFonts w:ascii="Times New Roman" w:hAnsi="Times New Roman" w:cs="Times New Roman"/>
          <w:sz w:val="28"/>
          <w:szCs w:val="28"/>
        </w:rPr>
        <w:t>различ</w:t>
      </w:r>
      <w:r w:rsidR="00664868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664868">
        <w:rPr>
          <w:rFonts w:ascii="Times New Roman" w:hAnsi="Times New Roman" w:cs="Times New Roman"/>
          <w:sz w:val="28"/>
          <w:szCs w:val="28"/>
        </w:rPr>
        <w:t xml:space="preserve"> рода НПО, СПО</w:t>
      </w:r>
      <w:r w:rsidR="00BD223C">
        <w:rPr>
          <w:rFonts w:ascii="Times New Roman" w:hAnsi="Times New Roman" w:cs="Times New Roman"/>
          <w:sz w:val="28"/>
          <w:szCs w:val="28"/>
        </w:rPr>
        <w:t xml:space="preserve"> (2011 – 15%, 2012 – 15%)</w:t>
      </w:r>
      <w:r w:rsidR="00664868">
        <w:rPr>
          <w:rFonts w:ascii="Times New Roman" w:hAnsi="Times New Roman" w:cs="Times New Roman"/>
          <w:sz w:val="28"/>
          <w:szCs w:val="28"/>
        </w:rPr>
        <w:t>. Н</w:t>
      </w:r>
      <w:r w:rsidRPr="00D374B7">
        <w:rPr>
          <w:rFonts w:ascii="Times New Roman" w:hAnsi="Times New Roman" w:cs="Times New Roman"/>
          <w:sz w:val="28"/>
          <w:szCs w:val="28"/>
        </w:rPr>
        <w:t>аиболее востребованн</w:t>
      </w:r>
      <w:r w:rsidR="00664868">
        <w:rPr>
          <w:rFonts w:ascii="Times New Roman" w:hAnsi="Times New Roman" w:cs="Times New Roman"/>
          <w:sz w:val="28"/>
          <w:szCs w:val="28"/>
        </w:rPr>
        <w:t>ыми выпускниками</w:t>
      </w:r>
      <w:r w:rsidRPr="00D374B7">
        <w:rPr>
          <w:rFonts w:ascii="Times New Roman" w:hAnsi="Times New Roman" w:cs="Times New Roman"/>
          <w:sz w:val="28"/>
          <w:szCs w:val="28"/>
        </w:rPr>
        <w:t xml:space="preserve"> являются колледжи технического и гуманитарного направлений, что подтверждает необходимость развивать физико-мате</w:t>
      </w:r>
      <w:r w:rsidR="00BD223C">
        <w:rPr>
          <w:rFonts w:ascii="Times New Roman" w:hAnsi="Times New Roman" w:cs="Times New Roman"/>
          <w:sz w:val="28"/>
          <w:szCs w:val="28"/>
        </w:rPr>
        <w:t xml:space="preserve">матическое направления обучения </w:t>
      </w:r>
    </w:p>
    <w:p w:rsidR="003237F3" w:rsidRPr="00F761AD" w:rsidRDefault="003237F3" w:rsidP="00F761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D">
        <w:rPr>
          <w:rFonts w:ascii="Times New Roman" w:hAnsi="Times New Roman" w:cs="Times New Roman"/>
          <w:b/>
          <w:i/>
          <w:sz w:val="28"/>
          <w:szCs w:val="28"/>
        </w:rPr>
        <w:t>Таким образом:</w:t>
      </w:r>
    </w:p>
    <w:p w:rsidR="003237F3" w:rsidRPr="00F761AD" w:rsidRDefault="00BD223C" w:rsidP="003237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61AD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F761AD" w:rsidRPr="00F761AD">
        <w:rPr>
          <w:rFonts w:ascii="Times New Roman" w:hAnsi="Times New Roman" w:cs="Times New Roman"/>
          <w:sz w:val="28"/>
          <w:szCs w:val="28"/>
        </w:rPr>
        <w:t xml:space="preserve">стабильной </w:t>
      </w:r>
      <w:r w:rsidRPr="00F761AD">
        <w:rPr>
          <w:rFonts w:ascii="Times New Roman" w:hAnsi="Times New Roman" w:cs="Times New Roman"/>
          <w:sz w:val="28"/>
          <w:szCs w:val="28"/>
        </w:rPr>
        <w:t>доля</w:t>
      </w:r>
      <w:r w:rsidR="003237F3" w:rsidRPr="00F761AD">
        <w:rPr>
          <w:rFonts w:ascii="Times New Roman" w:hAnsi="Times New Roman" w:cs="Times New Roman"/>
          <w:sz w:val="28"/>
          <w:szCs w:val="28"/>
        </w:rPr>
        <w:t xml:space="preserve"> выпускников 9-х классов, продолживших свое обучение в школе </w:t>
      </w:r>
      <w:r w:rsidR="003237F3" w:rsidRPr="00F761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4868" w:rsidRPr="00F761AD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3237F3" w:rsidRPr="00F761AD">
        <w:rPr>
          <w:rFonts w:ascii="Times New Roman" w:hAnsi="Times New Roman" w:cs="Times New Roman"/>
          <w:sz w:val="28"/>
          <w:szCs w:val="28"/>
        </w:rPr>
        <w:t>.</w:t>
      </w:r>
    </w:p>
    <w:p w:rsidR="00BD223C" w:rsidRPr="00F761AD" w:rsidRDefault="00BD223C" w:rsidP="003237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61AD">
        <w:rPr>
          <w:rFonts w:ascii="Times New Roman" w:hAnsi="Times New Roman" w:cs="Times New Roman"/>
          <w:sz w:val="28"/>
          <w:szCs w:val="28"/>
        </w:rPr>
        <w:t>Отмечается повышение на 2,4% поступления выпускников 9-х классов в НПО.</w:t>
      </w:r>
    </w:p>
    <w:p w:rsidR="00F761AD" w:rsidRPr="00F761AD" w:rsidRDefault="00F761AD" w:rsidP="00F761A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61AD">
        <w:rPr>
          <w:rFonts w:ascii="Times New Roman" w:hAnsi="Times New Roman" w:cs="Times New Roman"/>
          <w:sz w:val="28"/>
          <w:szCs w:val="28"/>
        </w:rPr>
        <w:t>Наблюдается тенденция уменьшения доли выпу</w:t>
      </w:r>
      <w:r w:rsidRPr="00F761AD">
        <w:rPr>
          <w:rFonts w:ascii="Times New Roman" w:hAnsi="Times New Roman" w:cs="Times New Roman"/>
          <w:sz w:val="28"/>
          <w:szCs w:val="28"/>
        </w:rPr>
        <w:t xml:space="preserve">скников 9-х классов на 2% поступивших </w:t>
      </w:r>
      <w:r w:rsidRPr="00F761AD">
        <w:rPr>
          <w:rFonts w:ascii="Times New Roman" w:hAnsi="Times New Roman" w:cs="Times New Roman"/>
          <w:sz w:val="28"/>
          <w:szCs w:val="28"/>
        </w:rPr>
        <w:t xml:space="preserve">в </w:t>
      </w:r>
      <w:r w:rsidRPr="00F761AD">
        <w:rPr>
          <w:rFonts w:ascii="Times New Roman" w:hAnsi="Times New Roman" w:cs="Times New Roman"/>
          <w:sz w:val="28"/>
          <w:szCs w:val="28"/>
        </w:rPr>
        <w:t>СПО</w:t>
      </w:r>
      <w:r w:rsidRPr="00F761AD">
        <w:rPr>
          <w:rFonts w:ascii="Times New Roman" w:hAnsi="Times New Roman" w:cs="Times New Roman"/>
          <w:sz w:val="28"/>
          <w:szCs w:val="28"/>
        </w:rPr>
        <w:t>.</w:t>
      </w:r>
    </w:p>
    <w:p w:rsidR="00BD223C" w:rsidRPr="00F761AD" w:rsidRDefault="00BD223C" w:rsidP="00F761A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5859" w:rsidRDefault="00675859" w:rsidP="00675859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5859">
        <w:rPr>
          <w:rFonts w:ascii="Times New Roman" w:hAnsi="Times New Roman"/>
          <w:sz w:val="28"/>
          <w:szCs w:val="28"/>
        </w:rPr>
        <w:t xml:space="preserve">Анализ трудоустройства выпускников 11 классов  показал, что на протяжении 2-х последних лет прослеживается положительная динамика </w:t>
      </w:r>
      <w:r w:rsidRPr="00675859">
        <w:rPr>
          <w:rFonts w:ascii="Times New Roman" w:hAnsi="Times New Roman"/>
          <w:sz w:val="28"/>
          <w:szCs w:val="28"/>
        </w:rPr>
        <w:lastRenderedPageBreak/>
        <w:t>поступления в высшие учебные заведения. Так, в 2011 году вузы поступило 36% выпускников школ, то в 2012 году -  48%.</w:t>
      </w:r>
    </w:p>
    <w:p w:rsidR="00675859" w:rsidRPr="00CA5CEA" w:rsidRDefault="00675859" w:rsidP="00CA5CE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5859">
        <w:rPr>
          <w:rFonts w:ascii="Times New Roman" w:hAnsi="Times New Roman"/>
          <w:sz w:val="28"/>
          <w:szCs w:val="28"/>
        </w:rPr>
        <w:t xml:space="preserve"> </w:t>
      </w:r>
      <w:r w:rsidRPr="00675859">
        <w:rPr>
          <w:rFonts w:ascii="Times New Roman" w:eastAsia="Calibri" w:hAnsi="Times New Roman"/>
          <w:sz w:val="28"/>
          <w:szCs w:val="28"/>
        </w:rPr>
        <w:t>Достаточно высокий процент поступления в вузы говорит об эффективности введения  в общеобразовательных учреждениях профильного обучения с точки зрения профессиональн</w:t>
      </w:r>
      <w:r w:rsidR="00CA5CEA">
        <w:rPr>
          <w:rFonts w:ascii="Times New Roman" w:eastAsia="Calibri" w:hAnsi="Times New Roman"/>
          <w:sz w:val="28"/>
          <w:szCs w:val="28"/>
        </w:rPr>
        <w:t>ого самоопределения обучающихся.</w:t>
      </w:r>
    </w:p>
    <w:p w:rsidR="00675859" w:rsidRPr="00F761AD" w:rsidRDefault="00675859" w:rsidP="00675859">
      <w:pPr>
        <w:jc w:val="center"/>
        <w:rPr>
          <w:rFonts w:ascii="Verdana" w:hAnsi="Verdana" w:cs="Calibri"/>
          <w:b/>
          <w:bCs/>
          <w:sz w:val="24"/>
          <w:szCs w:val="24"/>
        </w:rPr>
      </w:pPr>
      <w:r w:rsidRPr="00F761AD">
        <w:rPr>
          <w:rFonts w:ascii="Verdana" w:hAnsi="Verdana" w:cs="Calibri"/>
          <w:b/>
          <w:bCs/>
          <w:sz w:val="24"/>
          <w:szCs w:val="24"/>
        </w:rPr>
        <w:t>И</w:t>
      </w:r>
      <w:r>
        <w:rPr>
          <w:rFonts w:ascii="Verdana" w:hAnsi="Verdana" w:cs="Calibri"/>
          <w:b/>
          <w:bCs/>
          <w:sz w:val="24"/>
          <w:szCs w:val="24"/>
        </w:rPr>
        <w:t>тоги распределения выпускников 11</w:t>
      </w:r>
      <w:r w:rsidRPr="00F761AD">
        <w:rPr>
          <w:rFonts w:ascii="Verdana" w:hAnsi="Verdana" w:cs="Calibri"/>
          <w:b/>
          <w:bCs/>
          <w:sz w:val="24"/>
          <w:szCs w:val="24"/>
        </w:rPr>
        <w:t>-х классов</w:t>
      </w:r>
    </w:p>
    <w:p w:rsidR="003237F3" w:rsidRDefault="003237F3" w:rsidP="00323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859" w:rsidRDefault="00675859" w:rsidP="00323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CEA" w:rsidRDefault="00675859" w:rsidP="00CA5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709248" wp14:editId="52A8ABE5">
            <wp:extent cx="5095875" cy="22288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37F3" w:rsidRPr="00CA5CEA" w:rsidRDefault="00675859" w:rsidP="00CA5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EA">
        <w:rPr>
          <w:rFonts w:ascii="Times New Roman" w:hAnsi="Times New Roman" w:cs="Times New Roman"/>
          <w:sz w:val="28"/>
          <w:szCs w:val="28"/>
        </w:rPr>
        <w:t>Из 95</w:t>
      </w:r>
      <w:r w:rsidR="003237F3" w:rsidRPr="00CA5CEA">
        <w:rPr>
          <w:rFonts w:ascii="Times New Roman" w:hAnsi="Times New Roman" w:cs="Times New Roman"/>
          <w:sz w:val="28"/>
          <w:szCs w:val="28"/>
        </w:rPr>
        <w:t xml:space="preserve"> выпускников  </w:t>
      </w:r>
      <w:r w:rsidRPr="00CA5CE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CA5CEA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A5CEA">
        <w:rPr>
          <w:rFonts w:ascii="Times New Roman" w:hAnsi="Times New Roman" w:cs="Times New Roman"/>
          <w:sz w:val="28"/>
          <w:szCs w:val="28"/>
        </w:rPr>
        <w:t xml:space="preserve">  в 2012</w:t>
      </w:r>
      <w:r w:rsidR="003237F3" w:rsidRPr="00CA5CEA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237F3" w:rsidRPr="00CA5CEA" w:rsidRDefault="003237F3" w:rsidP="003237F3">
      <w:pPr>
        <w:pStyle w:val="a6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A5CEA">
        <w:rPr>
          <w:rFonts w:ascii="Times New Roman" w:hAnsi="Times New Roman"/>
          <w:sz w:val="28"/>
          <w:szCs w:val="28"/>
        </w:rPr>
        <w:t xml:space="preserve">поступили </w:t>
      </w:r>
      <w:r w:rsidR="00675859" w:rsidRPr="00CA5CEA">
        <w:rPr>
          <w:rFonts w:ascii="Times New Roman" w:hAnsi="Times New Roman"/>
          <w:sz w:val="28"/>
          <w:szCs w:val="28"/>
        </w:rPr>
        <w:t>в высшие учебные заведения   46 (28</w:t>
      </w:r>
      <w:r w:rsidRPr="00CA5CEA">
        <w:rPr>
          <w:rFonts w:ascii="Times New Roman" w:hAnsi="Times New Roman"/>
          <w:sz w:val="28"/>
          <w:szCs w:val="28"/>
        </w:rPr>
        <w:t xml:space="preserve"> в прошлом учебном г</w:t>
      </w:r>
      <w:r w:rsidR="00675859" w:rsidRPr="00CA5CEA">
        <w:rPr>
          <w:rFonts w:ascii="Times New Roman" w:hAnsi="Times New Roman"/>
          <w:sz w:val="28"/>
          <w:szCs w:val="28"/>
        </w:rPr>
        <w:t>оду) человек, что составило 48%  (35,8</w:t>
      </w:r>
      <w:r w:rsidRPr="00CA5CEA">
        <w:rPr>
          <w:rFonts w:ascii="Times New Roman" w:hAnsi="Times New Roman"/>
          <w:sz w:val="28"/>
          <w:szCs w:val="28"/>
        </w:rPr>
        <w:t xml:space="preserve"> %);</w:t>
      </w:r>
    </w:p>
    <w:p w:rsidR="003237F3" w:rsidRPr="00CA5CEA" w:rsidRDefault="00675859" w:rsidP="003237F3">
      <w:pPr>
        <w:pStyle w:val="a6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A5CEA">
        <w:rPr>
          <w:rFonts w:ascii="Times New Roman" w:hAnsi="Times New Roman"/>
          <w:sz w:val="28"/>
          <w:szCs w:val="28"/>
        </w:rPr>
        <w:t>25    поступили  в СПО</w:t>
      </w:r>
      <w:r w:rsidR="003237F3" w:rsidRPr="00CA5CEA">
        <w:rPr>
          <w:rFonts w:ascii="Times New Roman" w:hAnsi="Times New Roman"/>
          <w:sz w:val="28"/>
          <w:szCs w:val="28"/>
        </w:rPr>
        <w:t xml:space="preserve"> (в  прошлом учебном году </w:t>
      </w:r>
      <w:r w:rsidRPr="00CA5CEA">
        <w:rPr>
          <w:rFonts w:ascii="Times New Roman" w:hAnsi="Times New Roman"/>
          <w:sz w:val="28"/>
          <w:szCs w:val="28"/>
        </w:rPr>
        <w:t xml:space="preserve">  23</w:t>
      </w:r>
      <w:r w:rsidR="003237F3" w:rsidRPr="00CA5CEA">
        <w:rPr>
          <w:rFonts w:ascii="Times New Roman" w:hAnsi="Times New Roman"/>
          <w:sz w:val="28"/>
          <w:szCs w:val="28"/>
        </w:rPr>
        <w:t xml:space="preserve">);  </w:t>
      </w:r>
    </w:p>
    <w:p w:rsidR="003237F3" w:rsidRPr="00CA5CEA" w:rsidRDefault="00675859" w:rsidP="003237F3">
      <w:pPr>
        <w:pStyle w:val="a6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A5CEA">
        <w:rPr>
          <w:rFonts w:ascii="Times New Roman" w:hAnsi="Times New Roman"/>
          <w:sz w:val="28"/>
          <w:szCs w:val="28"/>
        </w:rPr>
        <w:t>в НПО продолжили образование 3</w:t>
      </w:r>
      <w:r w:rsidR="003237F3" w:rsidRPr="00CA5CEA">
        <w:rPr>
          <w:rFonts w:ascii="Times New Roman" w:hAnsi="Times New Roman"/>
          <w:sz w:val="28"/>
          <w:szCs w:val="28"/>
        </w:rPr>
        <w:t xml:space="preserve"> человек</w:t>
      </w:r>
      <w:r w:rsidRPr="00CA5CEA">
        <w:rPr>
          <w:rFonts w:ascii="Times New Roman" w:hAnsi="Times New Roman"/>
          <w:sz w:val="28"/>
          <w:szCs w:val="28"/>
        </w:rPr>
        <w:t>а (в прошлом учебном году 7</w:t>
      </w:r>
      <w:r w:rsidR="003237F3" w:rsidRPr="00CA5CEA">
        <w:rPr>
          <w:rFonts w:ascii="Times New Roman" w:hAnsi="Times New Roman"/>
          <w:sz w:val="28"/>
          <w:szCs w:val="28"/>
        </w:rPr>
        <w:t xml:space="preserve">); </w:t>
      </w:r>
    </w:p>
    <w:p w:rsidR="00675859" w:rsidRPr="00CA5CEA" w:rsidRDefault="00675859" w:rsidP="00675859">
      <w:pPr>
        <w:pStyle w:val="a6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5CEA">
        <w:rPr>
          <w:rFonts w:ascii="Times New Roman" w:hAnsi="Times New Roman"/>
          <w:sz w:val="28"/>
          <w:szCs w:val="28"/>
        </w:rPr>
        <w:t>3</w:t>
      </w:r>
      <w:r w:rsidR="003237F3" w:rsidRPr="00CA5CEA">
        <w:rPr>
          <w:rFonts w:ascii="Times New Roman" w:hAnsi="Times New Roman"/>
          <w:sz w:val="28"/>
          <w:szCs w:val="28"/>
        </w:rPr>
        <w:t xml:space="preserve"> выпускника  призваны в ряды Российской</w:t>
      </w:r>
      <w:r w:rsidRPr="00CA5CEA">
        <w:rPr>
          <w:rFonts w:ascii="Times New Roman" w:hAnsi="Times New Roman"/>
          <w:sz w:val="28"/>
          <w:szCs w:val="28"/>
        </w:rPr>
        <w:t xml:space="preserve"> армии (в прошлом учебном году </w:t>
      </w:r>
      <w:r w:rsidR="00CA5CEA">
        <w:rPr>
          <w:rFonts w:ascii="Times New Roman" w:hAnsi="Times New Roman"/>
          <w:sz w:val="28"/>
          <w:szCs w:val="28"/>
        </w:rPr>
        <w:t xml:space="preserve"> - </w:t>
      </w:r>
      <w:r w:rsidRPr="00CA5CEA">
        <w:rPr>
          <w:rFonts w:ascii="Times New Roman" w:hAnsi="Times New Roman"/>
          <w:sz w:val="28"/>
          <w:szCs w:val="28"/>
        </w:rPr>
        <w:t>0);</w:t>
      </w:r>
      <w:r w:rsidR="003237F3" w:rsidRPr="00CA5CE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237F3" w:rsidRPr="00CA5CEA" w:rsidRDefault="00675859" w:rsidP="00675859">
      <w:pPr>
        <w:pStyle w:val="a6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A5CEA">
        <w:rPr>
          <w:rFonts w:ascii="Times New Roman" w:hAnsi="Times New Roman"/>
          <w:sz w:val="28"/>
          <w:szCs w:val="28"/>
        </w:rPr>
        <w:t>1</w:t>
      </w:r>
      <w:r w:rsidR="003237F3" w:rsidRPr="00CA5CEA">
        <w:rPr>
          <w:rFonts w:ascii="Times New Roman" w:hAnsi="Times New Roman"/>
          <w:sz w:val="28"/>
          <w:szCs w:val="28"/>
        </w:rPr>
        <w:t xml:space="preserve">5 </w:t>
      </w:r>
      <w:r w:rsidRPr="00CA5CEA"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 w:rsidR="003237F3" w:rsidRPr="00CA5CEA">
        <w:rPr>
          <w:rFonts w:ascii="Times New Roman" w:hAnsi="Times New Roman"/>
          <w:sz w:val="28"/>
          <w:szCs w:val="28"/>
        </w:rPr>
        <w:t>трудоустроены</w:t>
      </w:r>
      <w:proofErr w:type="gramEnd"/>
      <w:r w:rsidRPr="00CA5CEA">
        <w:rPr>
          <w:rFonts w:ascii="Times New Roman" w:hAnsi="Times New Roman"/>
          <w:sz w:val="28"/>
          <w:szCs w:val="28"/>
        </w:rPr>
        <w:t xml:space="preserve"> (в прошлом учебном году 17); </w:t>
      </w:r>
    </w:p>
    <w:p w:rsidR="00675859" w:rsidRPr="00CA5CEA" w:rsidRDefault="00CA5CEA" w:rsidP="00675859">
      <w:pPr>
        <w:pStyle w:val="a6"/>
        <w:numPr>
          <w:ilvl w:val="0"/>
          <w:numId w:val="2"/>
        </w:numPr>
        <w:tabs>
          <w:tab w:val="num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  </w:t>
      </w:r>
      <w:r w:rsidR="00675859" w:rsidRPr="00CA5CEA">
        <w:rPr>
          <w:rFonts w:ascii="Times New Roman" w:hAnsi="Times New Roman"/>
          <w:sz w:val="28"/>
          <w:szCs w:val="28"/>
        </w:rPr>
        <w:t xml:space="preserve">выехали в тундру </w:t>
      </w:r>
      <w:r>
        <w:rPr>
          <w:rFonts w:ascii="Times New Roman" w:hAnsi="Times New Roman"/>
          <w:sz w:val="28"/>
          <w:szCs w:val="28"/>
        </w:rPr>
        <w:t>(в прошлом учебном году 2</w:t>
      </w:r>
      <w:r w:rsidR="002947AA" w:rsidRPr="00CA5CEA">
        <w:rPr>
          <w:rFonts w:ascii="Times New Roman" w:hAnsi="Times New Roman"/>
          <w:sz w:val="28"/>
          <w:szCs w:val="28"/>
        </w:rPr>
        <w:t>)</w:t>
      </w:r>
    </w:p>
    <w:p w:rsidR="002947AA" w:rsidRPr="00CA5CEA" w:rsidRDefault="002947AA" w:rsidP="00323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80A" w:rsidRDefault="0000280A" w:rsidP="00CA5C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0A" w:rsidRDefault="0000280A" w:rsidP="00CA5C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0A" w:rsidRDefault="0000280A" w:rsidP="00CA5C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0A" w:rsidRDefault="0000280A" w:rsidP="00CA5C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F3" w:rsidRPr="00CA5CEA" w:rsidRDefault="00CA5CEA" w:rsidP="00CA5C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EA">
        <w:rPr>
          <w:rFonts w:ascii="Times New Roman" w:hAnsi="Times New Roman" w:cs="Times New Roman"/>
          <w:b/>
          <w:sz w:val="28"/>
          <w:szCs w:val="28"/>
        </w:rPr>
        <w:lastRenderedPageBreak/>
        <w:t>Итоги поступления в ВУЗы</w:t>
      </w:r>
    </w:p>
    <w:p w:rsidR="003237F3" w:rsidRDefault="003237F3" w:rsidP="003237F3">
      <w:pPr>
        <w:ind w:firstLine="142"/>
        <w:jc w:val="center"/>
      </w:pPr>
      <w:r>
        <w:rPr>
          <w:noProof/>
        </w:rPr>
        <w:drawing>
          <wp:inline distT="0" distB="0" distL="0" distR="0">
            <wp:extent cx="4857750" cy="18002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5CEA" w:rsidRPr="00CA5CEA" w:rsidRDefault="00CA5CEA" w:rsidP="00CA5C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EA">
        <w:rPr>
          <w:rFonts w:ascii="Times New Roman" w:hAnsi="Times New Roman" w:cs="Times New Roman"/>
          <w:sz w:val="28"/>
          <w:szCs w:val="28"/>
        </w:rPr>
        <w:t>Доля выпускников, п</w:t>
      </w:r>
      <w:r w:rsidRPr="00CA5CEA">
        <w:rPr>
          <w:rFonts w:ascii="Times New Roman" w:hAnsi="Times New Roman" w:cs="Times New Roman"/>
          <w:sz w:val="28"/>
          <w:szCs w:val="28"/>
        </w:rPr>
        <w:t>оступающих в высшие учебные заведения,</w:t>
      </w:r>
      <w:r w:rsidRPr="00CA5CEA">
        <w:rPr>
          <w:rFonts w:ascii="Times New Roman" w:hAnsi="Times New Roman" w:cs="Times New Roman"/>
          <w:sz w:val="28"/>
          <w:szCs w:val="28"/>
        </w:rPr>
        <w:t xml:space="preserve"> остается высокой на</w:t>
      </w:r>
      <w:r w:rsidRPr="00CA5CEA">
        <w:rPr>
          <w:rFonts w:ascii="Times New Roman" w:hAnsi="Times New Roman" w:cs="Times New Roman"/>
          <w:sz w:val="28"/>
          <w:szCs w:val="28"/>
        </w:rPr>
        <w:t xml:space="preserve"> протяжении ряда последних лет.</w:t>
      </w:r>
    </w:p>
    <w:p w:rsidR="003237F3" w:rsidRPr="00CA5CEA" w:rsidRDefault="003237F3" w:rsidP="00CA5C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EA">
        <w:rPr>
          <w:rFonts w:ascii="Times New Roman" w:hAnsi="Times New Roman" w:cs="Times New Roman"/>
          <w:sz w:val="28"/>
          <w:szCs w:val="28"/>
        </w:rPr>
        <w:t>Популярными факу</w:t>
      </w:r>
      <w:r w:rsidR="00CA5CEA" w:rsidRPr="00CA5CEA">
        <w:rPr>
          <w:rFonts w:ascii="Times New Roman" w:hAnsi="Times New Roman" w:cs="Times New Roman"/>
          <w:sz w:val="28"/>
          <w:szCs w:val="28"/>
        </w:rPr>
        <w:t xml:space="preserve">льтетами среди выпускников 2012 </w:t>
      </w:r>
      <w:r w:rsidRPr="00CA5CEA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5CEA">
        <w:rPr>
          <w:rFonts w:ascii="Times New Roman" w:hAnsi="Times New Roman" w:cs="Times New Roman"/>
          <w:sz w:val="28"/>
          <w:szCs w:val="28"/>
        </w:rPr>
        <w:t>стали</w:t>
      </w:r>
      <w:r w:rsidRPr="00CA5CEA">
        <w:rPr>
          <w:rFonts w:ascii="Times New Roman" w:hAnsi="Times New Roman" w:cs="Times New Roman"/>
          <w:sz w:val="28"/>
          <w:szCs w:val="28"/>
        </w:rPr>
        <w:t>:</w:t>
      </w:r>
    </w:p>
    <w:p w:rsidR="003237F3" w:rsidRPr="00CA5CEA" w:rsidRDefault="00CA5CEA" w:rsidP="003237F3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EA">
        <w:rPr>
          <w:rFonts w:ascii="Times New Roman" w:hAnsi="Times New Roman" w:cs="Times New Roman"/>
          <w:sz w:val="28"/>
          <w:szCs w:val="28"/>
        </w:rPr>
        <w:t>Экономический факультет;</w:t>
      </w:r>
    </w:p>
    <w:p w:rsidR="003237F3" w:rsidRPr="00CA5CEA" w:rsidRDefault="003237F3" w:rsidP="003237F3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EA">
        <w:rPr>
          <w:rFonts w:ascii="Times New Roman" w:hAnsi="Times New Roman" w:cs="Times New Roman"/>
          <w:sz w:val="28"/>
          <w:szCs w:val="28"/>
        </w:rPr>
        <w:t>Финансы и кредит;</w:t>
      </w:r>
    </w:p>
    <w:p w:rsidR="003237F3" w:rsidRPr="00CA5CEA" w:rsidRDefault="003237F3" w:rsidP="003237F3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EA">
        <w:rPr>
          <w:rFonts w:ascii="Times New Roman" w:hAnsi="Times New Roman" w:cs="Times New Roman"/>
          <w:sz w:val="28"/>
          <w:szCs w:val="28"/>
        </w:rPr>
        <w:t>Государственное муниципальное управление.</w:t>
      </w:r>
    </w:p>
    <w:p w:rsidR="003237F3" w:rsidRPr="00CA5CEA" w:rsidRDefault="00CA5CEA" w:rsidP="00CA5CE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в</w:t>
      </w:r>
      <w:r w:rsidRPr="00CA5CEA">
        <w:rPr>
          <w:rFonts w:ascii="Times New Roman" w:hAnsi="Times New Roman" w:cs="Times New Roman"/>
          <w:sz w:val="28"/>
          <w:szCs w:val="28"/>
        </w:rPr>
        <w:t xml:space="preserve"> данном учебном году возросло количество выпускников поступивших в педагогические университеты (6,3%).</w:t>
      </w:r>
    </w:p>
    <w:p w:rsidR="003237F3" w:rsidRPr="00CA5CEA" w:rsidRDefault="003237F3" w:rsidP="003237F3">
      <w:pPr>
        <w:tabs>
          <w:tab w:val="left" w:pos="426"/>
          <w:tab w:val="left" w:pos="900"/>
        </w:tabs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CA5CEA">
        <w:rPr>
          <w:rFonts w:ascii="Times New Roman" w:hAnsi="Times New Roman" w:cs="Times New Roman"/>
          <w:b/>
          <w:i/>
          <w:sz w:val="28"/>
          <w:szCs w:val="28"/>
        </w:rPr>
        <w:t>Таким образом:</w:t>
      </w:r>
    </w:p>
    <w:p w:rsidR="003237F3" w:rsidRPr="00CA5CEA" w:rsidRDefault="00CA5CEA" w:rsidP="003237F3">
      <w:pPr>
        <w:numPr>
          <w:ilvl w:val="0"/>
          <w:numId w:val="4"/>
        </w:numPr>
        <w:tabs>
          <w:tab w:val="clear" w:pos="720"/>
          <w:tab w:val="num" w:pos="180"/>
          <w:tab w:val="left" w:pos="426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</w:t>
      </w:r>
      <w:r w:rsidR="003237F3" w:rsidRPr="00CA5CEA">
        <w:rPr>
          <w:rFonts w:ascii="Times New Roman" w:hAnsi="Times New Roman" w:cs="Times New Roman"/>
          <w:sz w:val="28"/>
          <w:szCs w:val="28"/>
        </w:rPr>
        <w:t xml:space="preserve"> году  поступление выпускников  школ </w:t>
      </w:r>
      <w:r>
        <w:rPr>
          <w:rFonts w:ascii="Times New Roman" w:hAnsi="Times New Roman" w:cs="Times New Roman"/>
          <w:sz w:val="28"/>
          <w:szCs w:val="28"/>
        </w:rPr>
        <w:t xml:space="preserve"> в ВУЗы составляет 48%, что на 12,2</w:t>
      </w:r>
      <w:r w:rsidR="003237F3" w:rsidRPr="00CA5CE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  показателя 2011</w:t>
      </w:r>
      <w:r w:rsidR="003237F3" w:rsidRPr="00CA5C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37F3" w:rsidRPr="00CA5CEA" w:rsidRDefault="003237F3" w:rsidP="003237F3">
      <w:pPr>
        <w:numPr>
          <w:ilvl w:val="0"/>
          <w:numId w:val="4"/>
        </w:numPr>
        <w:tabs>
          <w:tab w:val="clear" w:pos="720"/>
          <w:tab w:val="num" w:pos="18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EA">
        <w:rPr>
          <w:rFonts w:ascii="Times New Roman" w:hAnsi="Times New Roman" w:cs="Times New Roman"/>
          <w:sz w:val="28"/>
          <w:szCs w:val="28"/>
        </w:rPr>
        <w:t xml:space="preserve">Наиболее востребованными факультетами </w:t>
      </w:r>
      <w:r w:rsidR="00CA5CEA">
        <w:rPr>
          <w:rFonts w:ascii="Times New Roman" w:hAnsi="Times New Roman" w:cs="Times New Roman"/>
          <w:sz w:val="28"/>
          <w:szCs w:val="28"/>
        </w:rPr>
        <w:t>при поступлении выпускников 2012</w:t>
      </w:r>
      <w:r w:rsidRPr="00CA5CEA">
        <w:rPr>
          <w:rFonts w:ascii="Times New Roman" w:hAnsi="Times New Roman" w:cs="Times New Roman"/>
          <w:sz w:val="28"/>
          <w:szCs w:val="28"/>
        </w:rPr>
        <w:t xml:space="preserve"> года являются: </w:t>
      </w:r>
      <w:proofErr w:type="gramStart"/>
      <w:r w:rsidRPr="00CA5CEA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 w:rsidRPr="00CA5CEA">
        <w:rPr>
          <w:rFonts w:ascii="Times New Roman" w:hAnsi="Times New Roman" w:cs="Times New Roman"/>
          <w:sz w:val="28"/>
          <w:szCs w:val="28"/>
        </w:rPr>
        <w:t>, государственное муниципальное управление.</w:t>
      </w:r>
    </w:p>
    <w:p w:rsidR="003237F3" w:rsidRPr="00CA5CEA" w:rsidRDefault="003237F3" w:rsidP="003237F3">
      <w:pPr>
        <w:numPr>
          <w:ilvl w:val="0"/>
          <w:numId w:val="4"/>
        </w:numPr>
        <w:tabs>
          <w:tab w:val="clear" w:pos="720"/>
          <w:tab w:val="num" w:pos="18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CEA">
        <w:rPr>
          <w:rFonts w:ascii="Times New Roman" w:hAnsi="Times New Roman" w:cs="Times New Roman"/>
          <w:sz w:val="28"/>
          <w:szCs w:val="28"/>
        </w:rPr>
        <w:t>Наиболее в</w:t>
      </w:r>
      <w:r w:rsidR="0000280A">
        <w:rPr>
          <w:rFonts w:ascii="Times New Roman" w:hAnsi="Times New Roman" w:cs="Times New Roman"/>
          <w:sz w:val="28"/>
          <w:szCs w:val="28"/>
        </w:rPr>
        <w:t>остребованными выпускниками 2012</w:t>
      </w:r>
      <w:r w:rsidRPr="00CA5CEA">
        <w:rPr>
          <w:rFonts w:ascii="Times New Roman" w:hAnsi="Times New Roman" w:cs="Times New Roman"/>
          <w:sz w:val="28"/>
          <w:szCs w:val="28"/>
        </w:rPr>
        <w:t xml:space="preserve"> года являются</w:t>
      </w:r>
      <w:r w:rsidR="0000280A">
        <w:rPr>
          <w:rFonts w:ascii="Times New Roman" w:hAnsi="Times New Roman" w:cs="Times New Roman"/>
          <w:sz w:val="28"/>
          <w:szCs w:val="28"/>
        </w:rPr>
        <w:t xml:space="preserve"> вузы  городов  Тюмени – 46%. </w:t>
      </w:r>
    </w:p>
    <w:p w:rsidR="003237F3" w:rsidRPr="00CA5CEA" w:rsidRDefault="003237F3" w:rsidP="00CA5CE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237F3" w:rsidRPr="00CA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1FB"/>
    <w:multiLevelType w:val="hybridMultilevel"/>
    <w:tmpl w:val="D996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B56AC"/>
    <w:multiLevelType w:val="hybridMultilevel"/>
    <w:tmpl w:val="F5B4A388"/>
    <w:lvl w:ilvl="0" w:tplc="39584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87918"/>
    <w:multiLevelType w:val="hybridMultilevel"/>
    <w:tmpl w:val="C91A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E6CEC"/>
    <w:multiLevelType w:val="hybridMultilevel"/>
    <w:tmpl w:val="C352BE0C"/>
    <w:lvl w:ilvl="0" w:tplc="8E668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657"/>
    <w:rsid w:val="0000280A"/>
    <w:rsid w:val="002947AA"/>
    <w:rsid w:val="003237F3"/>
    <w:rsid w:val="005A3BB8"/>
    <w:rsid w:val="006105F2"/>
    <w:rsid w:val="00624657"/>
    <w:rsid w:val="00664868"/>
    <w:rsid w:val="00675859"/>
    <w:rsid w:val="00676937"/>
    <w:rsid w:val="00BD223C"/>
    <w:rsid w:val="00CA5CEA"/>
    <w:rsid w:val="00D374B7"/>
    <w:rsid w:val="00EF4655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9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7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37F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90"/>
      <c:depthPercent val="80"/>
      <c:rAngAx val="1"/>
    </c:view3D>
    <c:floor>
      <c:thickness val="0"/>
      <c:spPr>
        <a:solidFill>
          <a:sysClr val="window" lastClr="FFFFFF">
            <a:lumMod val="95000"/>
          </a:sysClr>
        </a:solidFill>
      </c:spPr>
    </c:floor>
    <c:sideWall>
      <c:thickness val="0"/>
      <c:spPr>
        <a:solidFill>
          <a:sysClr val="window" lastClr="FFFFFF">
            <a:lumMod val="95000"/>
          </a:sysClr>
        </a:solidFill>
      </c:spPr>
    </c:sideWall>
    <c:backWall>
      <c:thickness val="0"/>
      <c:spPr>
        <a:solidFill>
          <a:sysClr val="window" lastClr="FFFFFF">
            <a:lumMod val="95000"/>
          </a:sysClr>
        </a:solidFill>
      </c:spPr>
    </c:backWall>
    <c:plotArea>
      <c:layout>
        <c:manualLayout>
          <c:layoutTarget val="inner"/>
          <c:xMode val="edge"/>
          <c:yMode val="edge"/>
          <c:x val="0"/>
          <c:y val="6.1262930368998706E-4"/>
          <c:w val="0.93859341064795021"/>
          <c:h val="0.6584797288688436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spPr>
                <a:solidFill>
                  <a:schemeClr val="accent2">
                    <a:lumMod val="40000"/>
                    <a:lumOff val="60000"/>
                  </a:schemeClr>
                </a:solidFill>
                <a:ln>
                  <a:solidFill>
                    <a:schemeClr val="bg2">
                      <a:lumMod val="10000"/>
                    </a:schemeClr>
                  </a:solidFill>
                </a:ln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873015873015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bg2">
                    <a:lumMod val="1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% поступления в 10 класс</c:v>
                </c:pt>
                <c:pt idx="1">
                  <c:v>% поступления в НПО</c:v>
                </c:pt>
                <c:pt idx="2">
                  <c:v>% поступления в СПО</c:v>
                </c:pt>
                <c:pt idx="3">
                  <c:v> за пределами округа</c:v>
                </c:pt>
                <c:pt idx="4">
                  <c:v>трудоустроены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4.5999999999999996</c:v>
                </c:pt>
                <c:pt idx="2">
                  <c:v>10</c:v>
                </c:pt>
                <c:pt idx="3">
                  <c:v>1.1000000000000001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prst="convex"/>
            </a:sp3d>
          </c:spPr>
          <c:invertIfNegative val="0"/>
          <c:dLbls>
            <c:dLbl>
              <c:idx val="0"/>
              <c:layout>
                <c:manualLayout>
                  <c:x val="1.36054421768707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73015873015879E-2"/>
                  <c:y val="-4.5197740112994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77545663935209E-2"/>
                  <c:y val="-3.3499354953512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873015873015879E-2"/>
                  <c:y val="-1.355932203389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140589569161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8730158730157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bg2">
                    <a:lumMod val="2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% поступления в 10 класс</c:v>
                </c:pt>
                <c:pt idx="1">
                  <c:v>% поступления в НПО</c:v>
                </c:pt>
                <c:pt idx="2">
                  <c:v>% поступления в СПО</c:v>
                </c:pt>
                <c:pt idx="3">
                  <c:v> за пределами округа</c:v>
                </c:pt>
                <c:pt idx="4">
                  <c:v>трудоустроены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7</c:v>
                </c:pt>
                <c:pt idx="2">
                  <c:v>8</c:v>
                </c:pt>
                <c:pt idx="3">
                  <c:v>4.5999999999999996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773696"/>
        <c:axId val="207884288"/>
        <c:axId val="0"/>
      </c:bar3DChart>
      <c:catAx>
        <c:axId val="207773696"/>
        <c:scaling>
          <c:orientation val="minMax"/>
        </c:scaling>
        <c:delete val="0"/>
        <c:axPos val="b"/>
        <c:majorGridlines/>
        <c:numFmt formatCode="General" sourceLinked="1"/>
        <c:majorTickMark val="in"/>
        <c:minorTickMark val="out"/>
        <c:tickLblPos val="low"/>
        <c:txPr>
          <a:bodyPr rot="720000" vert="horz"/>
          <a:lstStyle/>
          <a:p>
            <a:pPr>
              <a:defRPr b="1" i="0" baseline="0">
                <a:latin typeface="Monotype Corsiva" pitchFamily="66" charset="0"/>
              </a:defRPr>
            </a:pPr>
            <a:endParaRPr lang="ru-RU"/>
          </a:p>
        </c:txPr>
        <c:crossAx val="207884288"/>
        <c:crosses val="autoZero"/>
        <c:auto val="1"/>
        <c:lblAlgn val="ctr"/>
        <c:lblOffset val="100"/>
        <c:tickLblSkip val="1"/>
        <c:noMultiLvlLbl val="0"/>
      </c:catAx>
      <c:valAx>
        <c:axId val="20788428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207773696"/>
        <c:crosses val="max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1700411553567731"/>
          <c:y val="0.20698115860517435"/>
          <c:w val="0.17788460213356383"/>
          <c:h val="0.22640888638920137"/>
        </c:manualLayout>
      </c:layout>
      <c:overlay val="0"/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90"/>
      <c:depthPercent val="80"/>
      <c:rAngAx val="1"/>
    </c:view3D>
    <c:floor>
      <c:thickness val="0"/>
      <c:spPr>
        <a:solidFill>
          <a:sysClr val="window" lastClr="FFFFFF">
            <a:lumMod val="95000"/>
          </a:sysClr>
        </a:solidFill>
      </c:spPr>
    </c:floor>
    <c:sideWall>
      <c:thickness val="0"/>
      <c:spPr>
        <a:solidFill>
          <a:sysClr val="window" lastClr="FFFFFF">
            <a:lumMod val="95000"/>
          </a:sysClr>
        </a:solidFill>
      </c:spPr>
    </c:sideWall>
    <c:backWall>
      <c:thickness val="0"/>
      <c:spPr>
        <a:solidFill>
          <a:sysClr val="window" lastClr="FFFFFF">
            <a:lumMod val="95000"/>
          </a:sysClr>
        </a:solidFill>
      </c:spPr>
    </c:backWall>
    <c:plotArea>
      <c:layout>
        <c:manualLayout>
          <c:layoutTarget val="inner"/>
          <c:xMode val="edge"/>
          <c:yMode val="edge"/>
          <c:x val="0"/>
          <c:y val="6.1262930368998706E-4"/>
          <c:w val="0.93859341064795021"/>
          <c:h val="0.6584797288688436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spPr>
                <a:solidFill>
                  <a:schemeClr val="accent2">
                    <a:lumMod val="40000"/>
                    <a:lumOff val="60000"/>
                  </a:schemeClr>
                </a:solidFill>
                <a:ln>
                  <a:solidFill>
                    <a:schemeClr val="bg2">
                      <a:lumMod val="10000"/>
                    </a:schemeClr>
                  </a:solidFill>
                </a:ln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txPr>
                <a:bodyPr/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8730158730158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bg2">
                    <a:lumMod val="1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% поступления в 10 класс</c:v>
                </c:pt>
                <c:pt idx="1">
                  <c:v>% поступления в НПО</c:v>
                </c:pt>
                <c:pt idx="2">
                  <c:v>% поступления в СПО</c:v>
                </c:pt>
                <c:pt idx="3">
                  <c:v> за пределами округа</c:v>
                </c:pt>
                <c:pt idx="4">
                  <c:v>трудоустроены</c:v>
                </c:pt>
                <c:pt idx="5">
                  <c:v>выехали в тундру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35.799999999999997</c:v>
                </c:pt>
                <c:pt idx="1">
                  <c:v>29.4</c:v>
                </c:pt>
                <c:pt idx="2">
                  <c:v>9</c:v>
                </c:pt>
                <c:pt idx="4">
                  <c:v>22</c:v>
                </c:pt>
                <c:pt idx="5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prst="convex"/>
            </a:sp3d>
          </c:spPr>
          <c:invertIfNegative val="0"/>
          <c:dLbls>
            <c:dLbl>
              <c:idx val="0"/>
              <c:layout>
                <c:manualLayout>
                  <c:x val="1.36054421768707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873015873015879E-2"/>
                  <c:y val="-4.5197740112994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77545663935209E-2"/>
                  <c:y val="-3.3499354953512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873015873015879E-2"/>
                  <c:y val="-1.3559322033898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140589569161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8730158730157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bg2">
                    <a:lumMod val="2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% поступления в 10 класс</c:v>
                </c:pt>
                <c:pt idx="1">
                  <c:v>% поступления в НПО</c:v>
                </c:pt>
                <c:pt idx="2">
                  <c:v>% поступления в СПО</c:v>
                </c:pt>
                <c:pt idx="3">
                  <c:v> за пределами округа</c:v>
                </c:pt>
                <c:pt idx="4">
                  <c:v>трудоустроены</c:v>
                </c:pt>
                <c:pt idx="5">
                  <c:v>выехали в тундру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</c:v>
                </c:pt>
                <c:pt idx="1">
                  <c:v>26</c:v>
                </c:pt>
                <c:pt idx="2">
                  <c:v>3.1</c:v>
                </c:pt>
                <c:pt idx="3">
                  <c:v>3.1</c:v>
                </c:pt>
                <c:pt idx="4">
                  <c:v>15.7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738624"/>
        <c:axId val="281690496"/>
        <c:axId val="0"/>
      </c:bar3DChart>
      <c:catAx>
        <c:axId val="255738624"/>
        <c:scaling>
          <c:orientation val="minMax"/>
        </c:scaling>
        <c:delete val="0"/>
        <c:axPos val="b"/>
        <c:majorGridlines/>
        <c:numFmt formatCode="General" sourceLinked="1"/>
        <c:majorTickMark val="in"/>
        <c:minorTickMark val="out"/>
        <c:tickLblPos val="low"/>
        <c:txPr>
          <a:bodyPr rot="720000" vert="horz"/>
          <a:lstStyle/>
          <a:p>
            <a:pPr>
              <a:defRPr b="1" i="0" baseline="0">
                <a:latin typeface="Monotype Corsiva" pitchFamily="66" charset="0"/>
              </a:defRPr>
            </a:pPr>
            <a:endParaRPr lang="ru-RU"/>
          </a:p>
        </c:txPr>
        <c:crossAx val="281690496"/>
        <c:crosses val="autoZero"/>
        <c:auto val="1"/>
        <c:lblAlgn val="ctr"/>
        <c:lblOffset val="100"/>
        <c:tickLblSkip val="1"/>
        <c:noMultiLvlLbl val="0"/>
      </c:catAx>
      <c:valAx>
        <c:axId val="281690496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255738624"/>
        <c:crosses val="max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81700411553567731"/>
          <c:y val="0.20698115860517435"/>
          <c:w val="0.17788460213356383"/>
          <c:h val="0.3802548399398793"/>
        </c:manualLayout>
      </c:layout>
      <c:overlay val="0"/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6"/>
      <c:rotY val="20"/>
      <c:depthPercent val="13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ysClr val="window" lastClr="FFFFFF">
            <a:lumMod val="95000"/>
          </a:sysClr>
        </a:solidFill>
        <a:ln w="12700">
          <a:solidFill>
            <a:srgbClr val="808080"/>
          </a:solidFill>
          <a:prstDash val="solid"/>
        </a:ln>
        <a:scene3d>
          <a:camera prst="orthographicFront"/>
          <a:lightRig rig="threePt" dir="t"/>
        </a:scene3d>
        <a:sp3d>
          <a:bevelT/>
        </a:sp3d>
      </c:spPr>
    </c:sideWall>
    <c:backWall>
      <c:thickness val="0"/>
      <c:spPr>
        <a:solidFill>
          <a:sysClr val="window" lastClr="FFFFFF">
            <a:lumMod val="95000"/>
          </a:sysClr>
        </a:solidFill>
        <a:ln w="12700">
          <a:solidFill>
            <a:srgbClr val="808080"/>
          </a:solidFill>
          <a:prstDash val="solid"/>
        </a:ln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5.3380782918149523E-2"/>
          <c:y val="1.9417475728155525E-2"/>
          <c:w val="0.94661921708185581"/>
          <c:h val="0.74271844660194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0504D">
                <a:lumMod val="75000"/>
              </a:srgbClr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CC99"/>
              </a:solidFill>
              <a:ln w="38068">
                <a:pattFill prst="pct50">
                  <a:fgClr>
                    <a:srgbClr val="000000"/>
                  </a:fgClr>
                  <a:bgClr>
                    <a:srgbClr val="FFFFFF"/>
                  </a:bgClr>
                </a:patt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49</c:v>
                </c:pt>
                <c:pt idx="1">
                  <c:v>35.799999999999997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0"/>
        <c:gapDepth val="110"/>
        <c:shape val="cylinder"/>
        <c:axId val="283757184"/>
        <c:axId val="283763072"/>
        <c:axId val="0"/>
      </c:bar3DChart>
      <c:catAx>
        <c:axId val="28375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Verdana" pitchFamily="34" charset="0"/>
                <a:ea typeface="Calibri"/>
                <a:cs typeface="Calibri"/>
              </a:defRPr>
            </a:pPr>
            <a:endParaRPr lang="ru-RU"/>
          </a:p>
        </c:txPr>
        <c:crossAx val="28376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3763072"/>
        <c:scaling>
          <c:orientation val="minMax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283757184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/>
    </a:sp3d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string_value</cp:lastModifiedBy>
  <cp:revision>8</cp:revision>
  <cp:lastPrinted>2012-10-03T03:19:00Z</cp:lastPrinted>
  <dcterms:created xsi:type="dcterms:W3CDTF">2012-10-02T15:00:00Z</dcterms:created>
  <dcterms:modified xsi:type="dcterms:W3CDTF">2012-10-12T05:31:00Z</dcterms:modified>
</cp:coreProperties>
</file>